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WQMS-FIN-TM-033-2025</w:t>
      </w:r>
    </w:p>
    <w:p>
      <w:r>
        <w:t>Policy Title: Treasury Management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provide a framework for effective treasury management, ensuring liquidity, financial risk management, and safeguarding of company funds.</w:t>
      </w:r>
    </w:p>
    <w:p>
      <w:pPr>
        <w:pStyle w:val="Heading2"/>
      </w:pPr>
      <w:r>
        <w:t>2. Scope</w:t>
      </w:r>
    </w:p>
    <w:p>
      <w:r>
        <w:t>This policy applies to all treasury activities, including cash management, banking relationships, investments, borrowing, and foreign exchange management.</w:t>
      </w:r>
    </w:p>
    <w:p>
      <w:pPr>
        <w:pStyle w:val="Heading2"/>
      </w:pPr>
      <w:r>
        <w:t>3. Definitions</w:t>
      </w:r>
    </w:p>
    <w:p>
      <w:r>
        <w:t>- Treasury Management: The administration of the company’s cash, investments, and financial risks to ensure financial stability.</w:t>
        <w:br/>
        <w:t>- Liquidity: The availability of cash or liquid assets to meet short-term obligations.</w:t>
        <w:br/>
        <w:t>- Counterparty Risk: The risk that a bank or financial institution fails to meet its obligations.</w:t>
        <w:br/>
        <w:t>- Hedging: Financial strategies used to mitigate risks such as interest rate or currency fluctuations.</w:t>
      </w:r>
    </w:p>
    <w:p>
      <w:pPr>
        <w:pStyle w:val="Heading2"/>
      </w:pPr>
      <w:r>
        <w:t>4. Policy Statements</w:t>
      </w:r>
    </w:p>
    <w:p>
      <w:r>
        <w:t>1. The company must maintain sufficient liquidity to meet operational and strategic needs.</w:t>
        <w:br/>
        <w:t>2. Cash management must prioritize security, liquidity, and yield, in that order.</w:t>
        <w:br/>
        <w:t>3. Banking relationships will be diversified to minimize counterparty risk.</w:t>
        <w:br/>
        <w:t>4. Short-term investments must be low-risk and highly liquid.</w:t>
        <w:br/>
        <w:t>5. Borrowings must be aligned with the company’s capital structure policy.</w:t>
        <w:br/>
        <w:t>6. Foreign exchange and interest rate risks must be identified, measured, and managed.</w:t>
        <w:br/>
        <w:t>7. Unauthorized speculative treasury activities are strictly prohibited.</w:t>
        <w:br/>
        <w:t>8. Treasury activities must comply with laws, regulations, and internal controls.</w:t>
      </w:r>
    </w:p>
    <w:p>
      <w:pPr>
        <w:pStyle w:val="Heading2"/>
      </w:pPr>
      <w:r>
        <w:t>5. Procedures</w:t>
      </w:r>
    </w:p>
    <w:p>
      <w:r>
        <w:t>- Cash Flow Forecasting: Regular forecasting to ensure liquidity adequacy.</w:t>
        <w:br/>
        <w:t>- Bank Account Management: Controlled opening, use, and closure of accounts.</w:t>
        <w:br/>
        <w:t>- Investment: Approval required for all short-term investments.</w:t>
        <w:br/>
        <w:t>- Borrowing: All borrowing activities require senior management approval.</w:t>
        <w:br/>
        <w:t>- Risk Management: Hedging strategies must be documented and approved.</w:t>
        <w:br/>
        <w:t>- Reporting: Treasury activities reported monthly to senior management and quarterly to the Board.</w:t>
      </w:r>
    </w:p>
    <w:p>
      <w:pPr>
        <w:pStyle w:val="Heading2"/>
      </w:pPr>
      <w:r>
        <w:t>6. Responsibilities</w:t>
      </w:r>
    </w:p>
    <w:p>
      <w:r>
        <w:t>- Treasury/Finance Department: Manage day-to-day treasury operations and risk management.</w:t>
        <w:br/>
        <w:t>- Senior Management: Approve treasury strategies and monitor compliance.</w:t>
        <w:br/>
        <w:t>- Board of Directors: Provide oversight and approve significant treasury activities.</w:t>
        <w:br/>
        <w:t>- Internal Audit: Review treasury processes and controls.</w:t>
      </w:r>
    </w:p>
    <w:p>
      <w:pPr>
        <w:pStyle w:val="Heading2"/>
      </w:pPr>
      <w:r>
        <w:t>7. Review &amp; Amendments</w:t>
      </w:r>
    </w:p>
    <w:p>
      <w:r>
        <w:t>This policy will be reviewed annually or when significant changes occur in financial markets, regulations, or company operations.</w:t>
      </w:r>
    </w:p>
    <w:p>
      <w:r>
        <w:br/>
        <w:t>WaveCrest Quality Management System – HRTest © 2025</w:t>
        <w:br/>
        <w:t>Policy Code: WQMS-FIN-TM-033-2025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