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WQMS-FIN-CSF-032-2025</w:t>
      </w:r>
    </w:p>
    <w:p>
      <w:r>
        <w:t>Policy Title: Capital Structure &amp; Financing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a framework for managing the company’s capital structure and financing activities to ensure financial stability, growth, and long-term value creation.</w:t>
      </w:r>
    </w:p>
    <w:p>
      <w:pPr>
        <w:pStyle w:val="Heading2"/>
      </w:pPr>
      <w:r>
        <w:t>2. Scope</w:t>
      </w:r>
    </w:p>
    <w:p>
      <w:r>
        <w:t>This policy applies to all financing decisions, capital raising activities, and debt/equity management undertaken by the company.</w:t>
      </w:r>
    </w:p>
    <w:p>
      <w:pPr>
        <w:pStyle w:val="Heading2"/>
      </w:pPr>
      <w:r>
        <w:t>3. Definitions</w:t>
      </w:r>
    </w:p>
    <w:p>
      <w:r>
        <w:t>- Capital Structure: The mix of debt and equity used to finance the company’s operations and growth.</w:t>
        <w:br/>
        <w:t>- Leverage: The use of borrowed funds to increase investment capacity.</w:t>
        <w:br/>
        <w:t>- Liquidity: Availability of cash or easily convertible assets to meet obligations.</w:t>
        <w:br/>
        <w:t>- Cost of Capital: The cost of funds used for financing investments.</w:t>
      </w:r>
    </w:p>
    <w:p>
      <w:pPr>
        <w:pStyle w:val="Heading2"/>
      </w:pPr>
      <w:r>
        <w:t>4. Policy Statements</w:t>
      </w:r>
    </w:p>
    <w:p>
      <w:r>
        <w:t>1. The company will maintain a balanced and sustainable capital structure aligned with strategic objectives.</w:t>
        <w:br/>
        <w:t>2. Financing decisions must prioritize financial stability, liquidity, and long-term value.</w:t>
        <w:br/>
        <w:t>3. The company will maintain access to diverse sources of capital, including equity, debt, and retained earnings.</w:t>
        <w:br/>
        <w:t>4. Debt levels will be managed prudently to maintain creditworthiness and avoid excessive leverage.</w:t>
        <w:br/>
        <w:t>5. Equity financing will be considered for growth projects where long-term value creation is prioritized.</w:t>
        <w:br/>
        <w:t>6. Financing activities must comply with applicable laws, regulations, and financial covenants.</w:t>
        <w:br/>
        <w:t>7. Hedging and risk management instruments may be used to manage interest rate and currency risks.</w:t>
        <w:br/>
        <w:t>8. Transparency and accountability in financing arrangements will be maintained through proper disclosure.</w:t>
      </w:r>
    </w:p>
    <w:p>
      <w:pPr>
        <w:pStyle w:val="Heading2"/>
      </w:pPr>
      <w:r>
        <w:t>5. Procedures</w:t>
      </w:r>
    </w:p>
    <w:p>
      <w:r>
        <w:t>- Assessment: Financing needs must be assessed in line with strategic and operational requirements.</w:t>
        <w:br/>
        <w:t>- Approval: Capital raising and major financing decisions require Board approval.</w:t>
        <w:br/>
        <w:t>- Execution: Financing arrangements must be negotiated to secure favorable terms.</w:t>
        <w:br/>
        <w:t>- Monitoring: Debt and equity ratios will be monitored regularly to ensure optimal capital structure.</w:t>
        <w:br/>
        <w:t>- Reporting: Regular reports on capital structure and financing activities will be submitted to senior management and the Board.</w:t>
      </w:r>
    </w:p>
    <w:p>
      <w:pPr>
        <w:pStyle w:val="Heading2"/>
      </w:pPr>
      <w:r>
        <w:t>6. Responsibilities</w:t>
      </w:r>
    </w:p>
    <w:p>
      <w:r>
        <w:t>- Finance Department: Analyze capital needs and recommend financing options.</w:t>
        <w:br/>
        <w:t>- Senior Management: Ensure financing aligns with strategic objectives and financial sustainability.</w:t>
        <w:br/>
        <w:t>- Board of Directors: Approve major financing decisions and monitor capital structure.</w:t>
        <w:br/>
        <w:t>- Internal Audit: Review compliance with financing policies and procedures.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financial markets, company strategy, or regulatory requirements.</w:t>
      </w:r>
    </w:p>
    <w:p>
      <w:r>
        <w:br/>
        <w:t>WaveCrest Quality Management System – HRTest © 2025</w:t>
        <w:br/>
        <w:t>Policy Code: WQMS-FIN-CSF-032-2025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